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DB" w:rsidRDefault="00005CDB">
      <w:pPr>
        <w:rPr>
          <w:rFonts w:ascii="Times New Roman" w:hAnsi="Times New Roman" w:cs="Times New Roman"/>
        </w:rPr>
      </w:pPr>
      <w:bookmarkStart w:id="0" w:name="_GoBack"/>
      <w:bookmarkEnd w:id="0"/>
    </w:p>
    <w:p w:rsidR="00005CDB" w:rsidRPr="00005CDB" w:rsidRDefault="00005CDB" w:rsidP="00005CDB">
      <w:pPr>
        <w:jc w:val="center"/>
        <w:rPr>
          <w:rFonts w:ascii="Times New Roman" w:hAnsi="Times New Roman" w:cs="Times New Roman"/>
          <w:sz w:val="36"/>
        </w:rPr>
      </w:pPr>
      <w:r w:rsidRPr="00005CDB">
        <w:rPr>
          <w:rFonts w:ascii="Nimbus Roman No9 L" w:hAnsi="Nimbus Roman No9 L" w:cs="Nimbus Roman No9 L"/>
          <w:b/>
          <w:sz w:val="30"/>
          <w:u w:val="single"/>
        </w:rPr>
        <w:t>ALUMNAE FEEDBACK</w:t>
      </w:r>
    </w:p>
    <w:p w:rsidR="00005CDB" w:rsidRDefault="00005CDB">
      <w:pPr>
        <w:rPr>
          <w:rFonts w:ascii="Times New Roman" w:hAnsi="Times New Roman" w:cs="Times New Roman"/>
        </w:rPr>
      </w:pPr>
    </w:p>
    <w:p w:rsidR="00005CDB" w:rsidRDefault="00005CDB">
      <w:pPr>
        <w:rPr>
          <w:rFonts w:ascii="Times New Roman" w:hAnsi="Times New Roman" w:cs="Times New Roman"/>
        </w:rPr>
      </w:pPr>
    </w:p>
    <w:p w:rsidR="00066CD5" w:rsidRDefault="002966D4">
      <w:pPr>
        <w:rPr>
          <w:rFonts w:ascii="Times New Roman" w:hAnsi="Times New Roman" w:cs="Times New Roman"/>
        </w:rPr>
      </w:pPr>
      <w:r w:rsidRPr="002966D4">
        <w:rPr>
          <w:rFonts w:ascii="Times New Roman" w:hAnsi="Times New Roman" w:cs="Times New Roman"/>
        </w:rPr>
        <w:t xml:space="preserve">The following table gives the feedback </w:t>
      </w:r>
      <w:r>
        <w:rPr>
          <w:rFonts w:ascii="Times New Roman" w:hAnsi="Times New Roman" w:cs="Times New Roman"/>
        </w:rPr>
        <w:t>of</w:t>
      </w:r>
      <w:r w:rsidRPr="002966D4">
        <w:rPr>
          <w:rFonts w:ascii="Times New Roman" w:hAnsi="Times New Roman" w:cs="Times New Roman"/>
        </w:rPr>
        <w:t xml:space="preserve"> alumni </w:t>
      </w:r>
      <w:r>
        <w:rPr>
          <w:rFonts w:ascii="Times New Roman" w:hAnsi="Times New Roman" w:cs="Times New Roman"/>
        </w:rPr>
        <w:t>regarding the college and the curriculum.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708"/>
        <w:gridCol w:w="1387"/>
        <w:gridCol w:w="1387"/>
        <w:gridCol w:w="998"/>
      </w:tblGrid>
      <w:tr w:rsidR="002966D4" w:rsidRPr="00CA38F3" w:rsidTr="00A97E3B">
        <w:trPr>
          <w:trHeight w:val="300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Percentage of respondents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Good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</w:tr>
      <w:tr w:rsidR="002966D4" w:rsidRPr="00CA38F3" w:rsidTr="00A97E3B">
        <w:trPr>
          <w:trHeight w:val="30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color w:val="000000"/>
              </w:rPr>
              <w:t>a)      Ambience of the college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7A0CA8" w:rsidRDefault="002966D4" w:rsidP="00A97E3B">
            <w:r>
              <w:t>71%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7A0CA8" w:rsidRDefault="002966D4" w:rsidP="00A97E3B">
            <w:r w:rsidRPr="007A0CA8"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7A0CA8" w:rsidRDefault="002966D4" w:rsidP="00A97E3B">
            <w:r w:rsidRPr="007A0CA8">
              <w:t>0</w:t>
            </w:r>
            <w:r>
              <w:t>%</w:t>
            </w:r>
          </w:p>
        </w:tc>
      </w:tr>
      <w:tr w:rsidR="002966D4" w:rsidRPr="00CA38F3" w:rsidTr="00A97E3B">
        <w:trPr>
          <w:trHeight w:val="30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color w:val="000000"/>
              </w:rPr>
              <w:t>b)      Infrastructure Facilities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7A0CA8" w:rsidRDefault="002966D4" w:rsidP="00A97E3B">
            <w:r w:rsidRPr="007A0CA8">
              <w:t>55</w:t>
            </w:r>
            <w: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7A0CA8" w:rsidRDefault="002966D4" w:rsidP="00A97E3B">
            <w:r>
              <w:t>45%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7A0CA8" w:rsidRDefault="002966D4" w:rsidP="00A97E3B">
            <w:r w:rsidRPr="007A0CA8">
              <w:t>0</w:t>
            </w:r>
            <w:r>
              <w:t>%</w:t>
            </w:r>
          </w:p>
        </w:tc>
      </w:tr>
      <w:tr w:rsidR="002966D4" w:rsidRPr="00CA38F3" w:rsidTr="00A97E3B">
        <w:trPr>
          <w:trHeight w:val="30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color w:val="000000"/>
              </w:rPr>
              <w:t>c)      Faculty - Student Relationship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7A0CA8" w:rsidRDefault="002966D4" w:rsidP="00A97E3B">
            <w:r w:rsidRPr="007A0CA8">
              <w:t>84</w:t>
            </w:r>
            <w: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7A0CA8" w:rsidRDefault="002966D4" w:rsidP="00A97E3B">
            <w:r>
              <w:t>16%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7A0CA8" w:rsidRDefault="002966D4" w:rsidP="00A97E3B">
            <w:r w:rsidRPr="007A0CA8">
              <w:t>0</w:t>
            </w:r>
            <w:r>
              <w:t>%</w:t>
            </w:r>
          </w:p>
        </w:tc>
      </w:tr>
      <w:tr w:rsidR="002966D4" w:rsidRPr="00CA38F3" w:rsidTr="00A97E3B">
        <w:trPr>
          <w:trHeight w:val="36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color w:val="000000"/>
              </w:rPr>
              <w:t>d)      Administrative Staff- Student Relationship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7A0CA8" w:rsidRDefault="002966D4" w:rsidP="00A97E3B">
            <w:r w:rsidRPr="007A0CA8">
              <w:t>58</w:t>
            </w:r>
            <w: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7A0CA8" w:rsidRDefault="002966D4" w:rsidP="00A97E3B">
            <w:r>
              <w:t>42%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Default="002966D4" w:rsidP="00A97E3B">
            <w:r w:rsidRPr="007A0CA8">
              <w:t>0</w:t>
            </w:r>
            <w:r>
              <w:t>%</w:t>
            </w:r>
          </w:p>
        </w:tc>
      </w:tr>
      <w:tr w:rsidR="002966D4" w:rsidRPr="00CA38F3" w:rsidTr="00A97E3B">
        <w:trPr>
          <w:trHeight w:val="30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</w:t>
            </w:r>
            <w:r w:rsidRPr="001330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Percentage of respondents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Good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</w:tr>
      <w:tr w:rsidR="002966D4" w:rsidRPr="00CA38F3" w:rsidTr="00A97E3B">
        <w:trPr>
          <w:trHeight w:val="30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color w:val="000000"/>
              </w:rPr>
              <w:t xml:space="preserve">a)      Programme Outcomes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FE688A" w:rsidRDefault="002966D4" w:rsidP="00A97E3B">
            <w:r w:rsidRPr="00FE688A">
              <w:t>65</w:t>
            </w:r>
            <w: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FE688A" w:rsidRDefault="002966D4" w:rsidP="00A97E3B">
            <w:r>
              <w:t>33%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FE688A" w:rsidRDefault="002966D4" w:rsidP="00A97E3B">
            <w:r w:rsidRPr="00FE688A">
              <w:t>2</w:t>
            </w:r>
            <w:r>
              <w:t>%</w:t>
            </w:r>
          </w:p>
        </w:tc>
      </w:tr>
      <w:tr w:rsidR="002966D4" w:rsidRPr="00CA38F3" w:rsidTr="00A97E3B">
        <w:trPr>
          <w:trHeight w:val="34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color w:val="000000"/>
              </w:rPr>
              <w:t xml:space="preserve">b)      Applicability of the Course to real life situation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FE688A" w:rsidRDefault="002966D4" w:rsidP="00A97E3B">
            <w:r w:rsidRPr="00FE688A">
              <w:t>55</w:t>
            </w:r>
            <w: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FE688A" w:rsidRDefault="002966D4" w:rsidP="00A97E3B">
            <w:r>
              <w:t>44%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FE688A" w:rsidRDefault="002966D4" w:rsidP="00A97E3B">
            <w:r w:rsidRPr="00FE688A">
              <w:t>1</w:t>
            </w:r>
            <w:r>
              <w:t>%</w:t>
            </w:r>
          </w:p>
        </w:tc>
      </w:tr>
      <w:tr w:rsidR="002966D4" w:rsidRPr="00CA38F3" w:rsidTr="00A97E3B">
        <w:trPr>
          <w:trHeight w:val="37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Default="002966D4" w:rsidP="00A9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color w:val="000000"/>
              </w:rPr>
              <w:t xml:space="preserve">c)      Curriculum in terms of their </w:t>
            </w:r>
          </w:p>
          <w:p w:rsidR="002966D4" w:rsidRPr="00CA38F3" w:rsidRDefault="002966D4" w:rsidP="00A9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color w:val="000000"/>
              </w:rPr>
              <w:t xml:space="preserve">relevance to latest technologies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FE688A" w:rsidRDefault="002966D4" w:rsidP="00A97E3B">
            <w:r w:rsidRPr="00FE688A">
              <w:t>57</w:t>
            </w:r>
            <w: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FE688A" w:rsidRDefault="002966D4" w:rsidP="00A97E3B">
            <w:r>
              <w:t>43%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FE688A" w:rsidRDefault="002966D4" w:rsidP="00A97E3B">
            <w:r w:rsidRPr="00FE688A">
              <w:t>0</w:t>
            </w:r>
            <w:r>
              <w:t>%</w:t>
            </w:r>
          </w:p>
        </w:tc>
      </w:tr>
      <w:tr w:rsidR="002966D4" w:rsidRPr="00CA38F3" w:rsidTr="00A97E3B">
        <w:trPr>
          <w:trHeight w:val="30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CA38F3" w:rsidRDefault="002966D4" w:rsidP="00A9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38F3">
              <w:rPr>
                <w:rFonts w:ascii="Times New Roman" w:eastAsia="Times New Roman" w:hAnsi="Times New Roman" w:cs="Times New Roman"/>
                <w:color w:val="000000"/>
              </w:rPr>
              <w:t>d)      Support service &amp; Placement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D4" w:rsidRPr="00FE688A" w:rsidRDefault="002966D4" w:rsidP="00A97E3B">
            <w:r>
              <w:t>53%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Pr="00FE688A" w:rsidRDefault="002966D4" w:rsidP="00A97E3B">
            <w:r w:rsidRPr="00FE688A">
              <w:t>40</w:t>
            </w:r>
            <w: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D4" w:rsidRDefault="002966D4" w:rsidP="00A97E3B">
            <w:r>
              <w:t>7%</w:t>
            </w:r>
          </w:p>
        </w:tc>
      </w:tr>
    </w:tbl>
    <w:p w:rsidR="002966D4" w:rsidRDefault="002966D4" w:rsidP="002966D4">
      <w:pPr>
        <w:rPr>
          <w:sz w:val="24"/>
          <w:szCs w:val="24"/>
        </w:rPr>
      </w:pPr>
    </w:p>
    <w:p w:rsidR="002966D4" w:rsidRDefault="002966D4"/>
    <w:p w:rsidR="002966D4" w:rsidRDefault="002966D4">
      <w:r>
        <w:rPr>
          <w:noProof/>
          <w:lang w:val="en-IN" w:eastAsia="en-IN"/>
        </w:rPr>
        <w:lastRenderedPageBreak/>
        <w:drawing>
          <wp:inline distT="0" distB="0" distL="0" distR="0" wp14:anchorId="6C436850" wp14:editId="7105A45E">
            <wp:extent cx="5394960" cy="5417820"/>
            <wp:effectExtent l="0" t="0" r="1524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966D4" w:rsidRDefault="002966D4"/>
    <w:p w:rsidR="002966D4" w:rsidRDefault="002966D4"/>
    <w:p w:rsidR="00716A5D" w:rsidRDefault="00716A5D"/>
    <w:p w:rsidR="00C17222" w:rsidRDefault="00C17222">
      <w:r>
        <w:rPr>
          <w:noProof/>
          <w:lang w:val="en-IN" w:eastAsia="en-IN"/>
        </w:rPr>
        <w:lastRenderedPageBreak/>
        <w:drawing>
          <wp:inline distT="0" distB="0" distL="0" distR="0" wp14:anchorId="1ABCA342" wp14:editId="2CD3E271">
            <wp:extent cx="5806440" cy="5303520"/>
            <wp:effectExtent l="0" t="0" r="2286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7222" w:rsidRDefault="00C17222"/>
    <w:p w:rsidR="00C17222" w:rsidRDefault="00C17222"/>
    <w:p w:rsidR="00C17222" w:rsidRDefault="00C17222">
      <w:r>
        <w:rPr>
          <w:noProof/>
          <w:lang w:val="en-IN" w:eastAsia="en-IN"/>
        </w:rPr>
        <w:lastRenderedPageBreak/>
        <w:drawing>
          <wp:inline distT="0" distB="0" distL="0" distR="0" wp14:anchorId="40B233F6" wp14:editId="47F5F0DF">
            <wp:extent cx="5478780" cy="5524500"/>
            <wp:effectExtent l="0" t="0" r="2667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7222" w:rsidRDefault="00C17222"/>
    <w:p w:rsidR="00C17222" w:rsidRDefault="00C17222">
      <w:r>
        <w:rPr>
          <w:noProof/>
          <w:lang w:val="en-IN" w:eastAsia="en-IN"/>
        </w:rPr>
        <w:lastRenderedPageBreak/>
        <w:drawing>
          <wp:inline distT="0" distB="0" distL="0" distR="0" wp14:anchorId="41D1B057" wp14:editId="1A06945A">
            <wp:extent cx="5974080" cy="5897880"/>
            <wp:effectExtent l="0" t="0" r="26670" b="266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7222" w:rsidRDefault="00C17222"/>
    <w:p w:rsidR="00C17222" w:rsidRPr="000565CE" w:rsidRDefault="00C17222">
      <w:pPr>
        <w:rPr>
          <w:b/>
          <w:color w:val="FF0000"/>
          <w:sz w:val="48"/>
          <w:szCs w:val="48"/>
        </w:rPr>
      </w:pPr>
    </w:p>
    <w:p w:rsidR="00C17222" w:rsidRDefault="00C17222"/>
    <w:p w:rsidR="001B179F" w:rsidRDefault="001B179F"/>
    <w:p w:rsidR="001B179F" w:rsidRDefault="001B179F">
      <w:r>
        <w:t>..</w:t>
      </w:r>
    </w:p>
    <w:p w:rsidR="001B179F" w:rsidRDefault="001B179F"/>
    <w:p w:rsidR="000565CE" w:rsidRDefault="000565CE"/>
    <w:p w:rsidR="002966D4" w:rsidRDefault="002966D4" w:rsidP="000565CE">
      <w:pPr>
        <w:jc w:val="center"/>
        <w:rPr>
          <w:sz w:val="40"/>
          <w:szCs w:val="40"/>
        </w:rPr>
      </w:pPr>
    </w:p>
    <w:p w:rsidR="000565CE" w:rsidRDefault="000565CE" w:rsidP="000565CE">
      <w:pPr>
        <w:jc w:val="center"/>
        <w:rPr>
          <w:sz w:val="40"/>
          <w:szCs w:val="40"/>
        </w:rPr>
      </w:pPr>
      <w:r w:rsidRPr="000565CE">
        <w:rPr>
          <w:sz w:val="40"/>
          <w:szCs w:val="40"/>
        </w:rPr>
        <w:t>CURRICULUM</w:t>
      </w:r>
    </w:p>
    <w:p w:rsidR="000565CE" w:rsidRDefault="000565CE" w:rsidP="000565CE">
      <w:pPr>
        <w:jc w:val="center"/>
        <w:rPr>
          <w:sz w:val="40"/>
          <w:szCs w:val="40"/>
        </w:rPr>
      </w:pPr>
      <w:r>
        <w:rPr>
          <w:noProof/>
          <w:lang w:val="en-IN" w:eastAsia="en-IN"/>
        </w:rPr>
        <w:drawing>
          <wp:inline distT="0" distB="0" distL="0" distR="0" wp14:anchorId="6DC62937" wp14:editId="29203EC2">
            <wp:extent cx="4572000" cy="4777740"/>
            <wp:effectExtent l="0" t="0" r="19050" b="2286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5CE" w:rsidRDefault="000565CE" w:rsidP="000565CE">
      <w:pPr>
        <w:jc w:val="center"/>
        <w:rPr>
          <w:sz w:val="40"/>
          <w:szCs w:val="40"/>
        </w:rPr>
      </w:pPr>
    </w:p>
    <w:p w:rsidR="000565CE" w:rsidRDefault="000565CE" w:rsidP="000565CE">
      <w:pPr>
        <w:jc w:val="center"/>
        <w:rPr>
          <w:sz w:val="40"/>
          <w:szCs w:val="40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4EAE40D9" wp14:editId="62BA1D40">
            <wp:extent cx="5410200" cy="4663440"/>
            <wp:effectExtent l="0" t="0" r="19050" b="228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65CE" w:rsidRDefault="000565CE" w:rsidP="000565CE">
      <w:pPr>
        <w:jc w:val="center"/>
        <w:rPr>
          <w:sz w:val="40"/>
          <w:szCs w:val="40"/>
        </w:rPr>
      </w:pPr>
    </w:p>
    <w:p w:rsidR="000565CE" w:rsidRDefault="000565CE" w:rsidP="000565CE">
      <w:pPr>
        <w:jc w:val="center"/>
        <w:rPr>
          <w:sz w:val="40"/>
          <w:szCs w:val="40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45E3FFFA" wp14:editId="691A85FC">
            <wp:extent cx="5234940" cy="5661660"/>
            <wp:effectExtent l="0" t="0" r="22860" b="152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65CE" w:rsidRDefault="000565CE" w:rsidP="000565CE">
      <w:pPr>
        <w:jc w:val="center"/>
        <w:rPr>
          <w:sz w:val="40"/>
          <w:szCs w:val="40"/>
        </w:rPr>
      </w:pPr>
    </w:p>
    <w:p w:rsidR="000565CE" w:rsidRDefault="000565CE" w:rsidP="000565CE">
      <w:pPr>
        <w:jc w:val="center"/>
        <w:rPr>
          <w:sz w:val="40"/>
          <w:szCs w:val="40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43E11C28" wp14:editId="1EB93ED3">
            <wp:extent cx="5242560" cy="4991100"/>
            <wp:effectExtent l="0" t="0" r="1524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65CE" w:rsidRDefault="000565CE" w:rsidP="000565CE">
      <w:pPr>
        <w:jc w:val="center"/>
        <w:rPr>
          <w:sz w:val="40"/>
          <w:szCs w:val="40"/>
        </w:rPr>
      </w:pPr>
    </w:p>
    <w:p w:rsidR="000565CE" w:rsidRPr="000565CE" w:rsidRDefault="000565CE" w:rsidP="000565CE">
      <w:pPr>
        <w:rPr>
          <w:b/>
          <w:color w:val="FF0000"/>
          <w:sz w:val="48"/>
          <w:szCs w:val="48"/>
        </w:rPr>
      </w:pPr>
    </w:p>
    <w:p w:rsidR="000565CE" w:rsidRDefault="000565CE" w:rsidP="000565CE">
      <w:pPr>
        <w:jc w:val="center"/>
        <w:rPr>
          <w:sz w:val="40"/>
          <w:szCs w:val="40"/>
        </w:rPr>
      </w:pPr>
    </w:p>
    <w:p w:rsidR="00BC0CA0" w:rsidRDefault="00BC0CA0" w:rsidP="000565CE">
      <w:pPr>
        <w:jc w:val="center"/>
        <w:rPr>
          <w:sz w:val="40"/>
          <w:szCs w:val="40"/>
        </w:rPr>
      </w:pPr>
    </w:p>
    <w:p w:rsidR="00BC0CA0" w:rsidRDefault="00BC0CA0" w:rsidP="00BC0CA0">
      <w:pPr>
        <w:rPr>
          <w:sz w:val="24"/>
          <w:szCs w:val="24"/>
        </w:rPr>
      </w:pPr>
    </w:p>
    <w:p w:rsidR="00005CDB" w:rsidRDefault="00005CDB" w:rsidP="00296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74C0B" w:rsidRPr="00556830" w:rsidRDefault="00556830" w:rsidP="002966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6830">
        <w:rPr>
          <w:rFonts w:ascii="Times New Roman" w:hAnsi="Times New Roman" w:cs="Times New Roman"/>
          <w:sz w:val="24"/>
          <w:szCs w:val="24"/>
        </w:rPr>
        <w:lastRenderedPageBreak/>
        <w:t>On a scale of 3, following are the scores</w:t>
      </w:r>
      <w:r w:rsidR="002966D4">
        <w:rPr>
          <w:rFonts w:ascii="Times New Roman" w:hAnsi="Times New Roman" w:cs="Times New Roman"/>
          <w:sz w:val="24"/>
          <w:szCs w:val="24"/>
        </w:rPr>
        <w:t xml:space="preserve"> given by alumni for the college and the curriculum.</w:t>
      </w:r>
    </w:p>
    <w:p w:rsidR="00C74C0B" w:rsidRDefault="00C74C0B" w:rsidP="00BC0CA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080"/>
      </w:tblGrid>
      <w:tr w:rsidR="00C74C0B" w:rsidTr="00C74C0B">
        <w:tc>
          <w:tcPr>
            <w:tcW w:w="6318" w:type="dxa"/>
          </w:tcPr>
          <w:p w:rsidR="00C74C0B" w:rsidRPr="00C74C0B" w:rsidRDefault="00C74C0B" w:rsidP="00A97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4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</w:p>
        </w:tc>
        <w:tc>
          <w:tcPr>
            <w:tcW w:w="1080" w:type="dxa"/>
          </w:tcPr>
          <w:p w:rsidR="00C74C0B" w:rsidRPr="00C74C0B" w:rsidRDefault="00C74C0B" w:rsidP="00C74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</w:t>
            </w:r>
          </w:p>
        </w:tc>
      </w:tr>
      <w:tr w:rsidR="00C74C0B" w:rsidTr="00C74C0B">
        <w:tc>
          <w:tcPr>
            <w:tcW w:w="6318" w:type="dxa"/>
          </w:tcPr>
          <w:p w:rsidR="00C74C0B" w:rsidRPr="00C74C0B" w:rsidRDefault="00C74C0B" w:rsidP="00A97E3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4C0B">
              <w:rPr>
                <w:rFonts w:ascii="Times New Roman" w:eastAsia="Times New Roman" w:hAnsi="Times New Roman" w:cs="Times New Roman"/>
                <w:color w:val="000000"/>
              </w:rPr>
              <w:t>a)      Ambience of the college</w:t>
            </w:r>
          </w:p>
        </w:tc>
        <w:tc>
          <w:tcPr>
            <w:tcW w:w="1080" w:type="dxa"/>
            <w:vAlign w:val="bottom"/>
          </w:tcPr>
          <w:p w:rsidR="00C74C0B" w:rsidRPr="00C74C0B" w:rsidRDefault="00C74C0B" w:rsidP="00C74C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0B">
              <w:rPr>
                <w:rFonts w:ascii="Calibri" w:eastAsia="Times New Roman" w:hAnsi="Calibri" w:cs="Times New Roman"/>
                <w:color w:val="000000"/>
              </w:rPr>
              <w:t>2.707865</w:t>
            </w:r>
          </w:p>
        </w:tc>
      </w:tr>
      <w:tr w:rsidR="00C74C0B" w:rsidTr="00C74C0B">
        <w:tc>
          <w:tcPr>
            <w:tcW w:w="6318" w:type="dxa"/>
          </w:tcPr>
          <w:p w:rsidR="00C74C0B" w:rsidRPr="00C74C0B" w:rsidRDefault="00C74C0B" w:rsidP="00A97E3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4C0B">
              <w:rPr>
                <w:rFonts w:ascii="Times New Roman" w:eastAsia="Times New Roman" w:hAnsi="Times New Roman" w:cs="Times New Roman"/>
                <w:color w:val="000000"/>
              </w:rPr>
              <w:t>b)      Infrastructure Facilities</w:t>
            </w:r>
          </w:p>
        </w:tc>
        <w:tc>
          <w:tcPr>
            <w:tcW w:w="1080" w:type="dxa"/>
          </w:tcPr>
          <w:p w:rsidR="00C74C0B" w:rsidRPr="00A567F0" w:rsidRDefault="00C74C0B" w:rsidP="00C74C0B">
            <w:pPr>
              <w:jc w:val="center"/>
            </w:pPr>
            <w:r w:rsidRPr="00A567F0">
              <w:t>2.550562</w:t>
            </w:r>
          </w:p>
        </w:tc>
      </w:tr>
      <w:tr w:rsidR="00C74C0B" w:rsidTr="00C74C0B">
        <w:tc>
          <w:tcPr>
            <w:tcW w:w="6318" w:type="dxa"/>
          </w:tcPr>
          <w:p w:rsidR="00C74C0B" w:rsidRPr="00C74C0B" w:rsidRDefault="00C74C0B" w:rsidP="00A97E3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4C0B">
              <w:rPr>
                <w:rFonts w:ascii="Times New Roman" w:eastAsia="Times New Roman" w:hAnsi="Times New Roman" w:cs="Times New Roman"/>
                <w:color w:val="000000"/>
              </w:rPr>
              <w:t>c)      Faculty - Student Relationship</w:t>
            </w:r>
          </w:p>
        </w:tc>
        <w:tc>
          <w:tcPr>
            <w:tcW w:w="1080" w:type="dxa"/>
          </w:tcPr>
          <w:p w:rsidR="00C74C0B" w:rsidRDefault="00C74C0B" w:rsidP="00C74C0B">
            <w:pPr>
              <w:jc w:val="center"/>
            </w:pPr>
            <w:r w:rsidRPr="00A567F0">
              <w:t>2.842697</w:t>
            </w:r>
          </w:p>
        </w:tc>
      </w:tr>
      <w:tr w:rsidR="00C74C0B" w:rsidTr="00C74C0B">
        <w:tc>
          <w:tcPr>
            <w:tcW w:w="6318" w:type="dxa"/>
          </w:tcPr>
          <w:p w:rsidR="00C74C0B" w:rsidRPr="00C74C0B" w:rsidRDefault="00C74C0B" w:rsidP="00A97E3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4C0B">
              <w:rPr>
                <w:rFonts w:ascii="Times New Roman" w:eastAsia="Times New Roman" w:hAnsi="Times New Roman" w:cs="Times New Roman"/>
                <w:color w:val="000000"/>
              </w:rPr>
              <w:t>d)      Administrative Staff- Student Relationship</w:t>
            </w:r>
          </w:p>
        </w:tc>
        <w:tc>
          <w:tcPr>
            <w:tcW w:w="1080" w:type="dxa"/>
            <w:vAlign w:val="bottom"/>
          </w:tcPr>
          <w:p w:rsidR="00C74C0B" w:rsidRPr="00C74C0B" w:rsidRDefault="00C74C0B" w:rsidP="00C74C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0B">
              <w:rPr>
                <w:rFonts w:ascii="Calibri" w:eastAsia="Times New Roman" w:hAnsi="Calibri" w:cs="Times New Roman"/>
                <w:color w:val="000000"/>
              </w:rPr>
              <w:t>2.58427</w:t>
            </w:r>
          </w:p>
        </w:tc>
      </w:tr>
      <w:tr w:rsidR="00C74C0B" w:rsidTr="00C74C0B">
        <w:tc>
          <w:tcPr>
            <w:tcW w:w="6318" w:type="dxa"/>
          </w:tcPr>
          <w:p w:rsidR="00C74C0B" w:rsidRPr="00C74C0B" w:rsidRDefault="00C74C0B" w:rsidP="00A97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4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</w:t>
            </w:r>
          </w:p>
        </w:tc>
        <w:tc>
          <w:tcPr>
            <w:tcW w:w="1080" w:type="dxa"/>
          </w:tcPr>
          <w:p w:rsidR="00C74C0B" w:rsidRPr="00C74C0B" w:rsidRDefault="00C74C0B" w:rsidP="00C74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74C0B" w:rsidTr="00C74C0B">
        <w:tc>
          <w:tcPr>
            <w:tcW w:w="6318" w:type="dxa"/>
          </w:tcPr>
          <w:p w:rsidR="00C74C0B" w:rsidRPr="00C74C0B" w:rsidRDefault="00C74C0B" w:rsidP="00A97E3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4C0B">
              <w:rPr>
                <w:rFonts w:ascii="Times New Roman" w:eastAsia="Times New Roman" w:hAnsi="Times New Roman" w:cs="Times New Roman"/>
                <w:color w:val="000000"/>
              </w:rPr>
              <w:t xml:space="preserve">a)      Programme Outcomes </w:t>
            </w:r>
          </w:p>
        </w:tc>
        <w:tc>
          <w:tcPr>
            <w:tcW w:w="1080" w:type="dxa"/>
          </w:tcPr>
          <w:p w:rsidR="00C74C0B" w:rsidRPr="001E340A" w:rsidRDefault="00C74C0B" w:rsidP="00C74C0B">
            <w:pPr>
              <w:jc w:val="center"/>
            </w:pPr>
            <w:r w:rsidRPr="001E340A">
              <w:t>2.629213</w:t>
            </w:r>
          </w:p>
        </w:tc>
      </w:tr>
      <w:tr w:rsidR="00C74C0B" w:rsidTr="00C74C0B">
        <w:tc>
          <w:tcPr>
            <w:tcW w:w="6318" w:type="dxa"/>
          </w:tcPr>
          <w:p w:rsidR="00C74C0B" w:rsidRPr="00C74C0B" w:rsidRDefault="00C74C0B" w:rsidP="00A97E3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4C0B">
              <w:rPr>
                <w:rFonts w:ascii="Times New Roman" w:eastAsia="Times New Roman" w:hAnsi="Times New Roman" w:cs="Times New Roman"/>
                <w:color w:val="000000"/>
              </w:rPr>
              <w:t xml:space="preserve">b)      Applicability of the Course to real life situation </w:t>
            </w:r>
          </w:p>
        </w:tc>
        <w:tc>
          <w:tcPr>
            <w:tcW w:w="1080" w:type="dxa"/>
          </w:tcPr>
          <w:p w:rsidR="00C74C0B" w:rsidRPr="001E340A" w:rsidRDefault="00C74C0B" w:rsidP="00C74C0B">
            <w:pPr>
              <w:jc w:val="center"/>
            </w:pPr>
            <w:r w:rsidRPr="001E340A">
              <w:t>2.539326</w:t>
            </w:r>
          </w:p>
        </w:tc>
      </w:tr>
      <w:tr w:rsidR="00C74C0B" w:rsidTr="00C74C0B">
        <w:tc>
          <w:tcPr>
            <w:tcW w:w="6318" w:type="dxa"/>
          </w:tcPr>
          <w:p w:rsidR="00C74C0B" w:rsidRPr="00C74C0B" w:rsidRDefault="00C74C0B" w:rsidP="00A97E3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4C0B">
              <w:rPr>
                <w:rFonts w:ascii="Times New Roman" w:eastAsia="Times New Roman" w:hAnsi="Times New Roman" w:cs="Times New Roman"/>
                <w:color w:val="000000"/>
              </w:rPr>
              <w:t xml:space="preserve">c)      Curriculum in terms of their relevance to latest technologies </w:t>
            </w:r>
          </w:p>
        </w:tc>
        <w:tc>
          <w:tcPr>
            <w:tcW w:w="1080" w:type="dxa"/>
          </w:tcPr>
          <w:p w:rsidR="00C74C0B" w:rsidRPr="001E340A" w:rsidRDefault="00C74C0B" w:rsidP="00C74C0B">
            <w:pPr>
              <w:jc w:val="center"/>
            </w:pPr>
            <w:r w:rsidRPr="001E340A">
              <w:t>2.573034</w:t>
            </w:r>
          </w:p>
        </w:tc>
      </w:tr>
      <w:tr w:rsidR="00C74C0B" w:rsidTr="00C74C0B">
        <w:tc>
          <w:tcPr>
            <w:tcW w:w="6318" w:type="dxa"/>
          </w:tcPr>
          <w:p w:rsidR="00C74C0B" w:rsidRPr="00C74C0B" w:rsidRDefault="00C74C0B" w:rsidP="00A97E3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4C0B">
              <w:rPr>
                <w:rFonts w:ascii="Times New Roman" w:eastAsia="Times New Roman" w:hAnsi="Times New Roman" w:cs="Times New Roman"/>
                <w:color w:val="000000"/>
              </w:rPr>
              <w:t>d)      Support service &amp; Placement</w:t>
            </w:r>
          </w:p>
        </w:tc>
        <w:tc>
          <w:tcPr>
            <w:tcW w:w="1080" w:type="dxa"/>
          </w:tcPr>
          <w:p w:rsidR="00C74C0B" w:rsidRDefault="00C74C0B" w:rsidP="00C74C0B">
            <w:pPr>
              <w:jc w:val="center"/>
            </w:pPr>
            <w:r w:rsidRPr="001E340A">
              <w:t>2.460674</w:t>
            </w:r>
          </w:p>
        </w:tc>
      </w:tr>
    </w:tbl>
    <w:p w:rsidR="00C74C0B" w:rsidRDefault="00C74C0B" w:rsidP="00BC0CA0">
      <w:pPr>
        <w:rPr>
          <w:sz w:val="24"/>
          <w:szCs w:val="24"/>
        </w:rPr>
      </w:pPr>
    </w:p>
    <w:p w:rsidR="00C74C0B" w:rsidRPr="00556830" w:rsidRDefault="006D5AD7" w:rsidP="002966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6830">
        <w:rPr>
          <w:rFonts w:ascii="Times New Roman" w:hAnsi="Times New Roman" w:cs="Times New Roman"/>
          <w:sz w:val="24"/>
          <w:szCs w:val="24"/>
        </w:rPr>
        <w:t>From the table</w:t>
      </w:r>
      <w:r w:rsidR="00556830">
        <w:rPr>
          <w:rFonts w:ascii="Times New Roman" w:hAnsi="Times New Roman" w:cs="Times New Roman"/>
          <w:sz w:val="24"/>
          <w:szCs w:val="24"/>
        </w:rPr>
        <w:t>s</w:t>
      </w:r>
      <w:r w:rsidRPr="00556830">
        <w:rPr>
          <w:rFonts w:ascii="Times New Roman" w:hAnsi="Times New Roman" w:cs="Times New Roman"/>
          <w:sz w:val="24"/>
          <w:szCs w:val="24"/>
        </w:rPr>
        <w:t xml:space="preserve">, we can see that the alumni are satisfied with both the facilities and the curriculum of the college. They are happy about the healthy relationship between faculty and students. </w:t>
      </w:r>
      <w:r w:rsidR="002966D4">
        <w:rPr>
          <w:rFonts w:ascii="Times New Roman" w:hAnsi="Times New Roman" w:cs="Times New Roman"/>
          <w:sz w:val="24"/>
          <w:szCs w:val="24"/>
        </w:rPr>
        <w:t>T</w:t>
      </w:r>
      <w:r w:rsidR="00556830">
        <w:rPr>
          <w:rFonts w:ascii="Times New Roman" w:hAnsi="Times New Roman" w:cs="Times New Roman"/>
          <w:sz w:val="24"/>
          <w:szCs w:val="24"/>
        </w:rPr>
        <w:t xml:space="preserve">he support service and placement of the college needs more attention as per the feedback given by alumni. The infrastructure </w:t>
      </w:r>
      <w:r w:rsidR="002966D4">
        <w:rPr>
          <w:rFonts w:ascii="Times New Roman" w:hAnsi="Times New Roman" w:cs="Times New Roman"/>
          <w:sz w:val="24"/>
          <w:szCs w:val="24"/>
        </w:rPr>
        <w:t>facilities are</w:t>
      </w:r>
      <w:r w:rsidR="00556830">
        <w:rPr>
          <w:rFonts w:ascii="Times New Roman" w:hAnsi="Times New Roman" w:cs="Times New Roman"/>
          <w:sz w:val="24"/>
          <w:szCs w:val="24"/>
        </w:rPr>
        <w:t xml:space="preserve"> to be developed to reach </w:t>
      </w:r>
      <w:r w:rsidR="002966D4">
        <w:rPr>
          <w:rFonts w:ascii="Times New Roman" w:hAnsi="Times New Roman" w:cs="Times New Roman"/>
          <w:sz w:val="24"/>
          <w:szCs w:val="24"/>
        </w:rPr>
        <w:t>up to</w:t>
      </w:r>
      <w:r w:rsidR="00556830">
        <w:rPr>
          <w:rFonts w:ascii="Times New Roman" w:hAnsi="Times New Roman" w:cs="Times New Roman"/>
          <w:sz w:val="24"/>
          <w:szCs w:val="24"/>
        </w:rPr>
        <w:t xml:space="preserve"> their expectations and the administrative staff-student relationship need to be improved.</w:t>
      </w:r>
    </w:p>
    <w:sectPr w:rsidR="00C74C0B" w:rsidRPr="0055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5D"/>
    <w:rsid w:val="00005CDB"/>
    <w:rsid w:val="000565CE"/>
    <w:rsid w:val="00066CD5"/>
    <w:rsid w:val="00073F68"/>
    <w:rsid w:val="00107282"/>
    <w:rsid w:val="00133089"/>
    <w:rsid w:val="001542F4"/>
    <w:rsid w:val="001B179F"/>
    <w:rsid w:val="00230AC1"/>
    <w:rsid w:val="00243D5C"/>
    <w:rsid w:val="002966D4"/>
    <w:rsid w:val="0034132F"/>
    <w:rsid w:val="003B6F2F"/>
    <w:rsid w:val="00417D54"/>
    <w:rsid w:val="00431722"/>
    <w:rsid w:val="00556830"/>
    <w:rsid w:val="006807EA"/>
    <w:rsid w:val="006D5AD7"/>
    <w:rsid w:val="00716A5D"/>
    <w:rsid w:val="00724096"/>
    <w:rsid w:val="00791BB3"/>
    <w:rsid w:val="008558A2"/>
    <w:rsid w:val="00945CE2"/>
    <w:rsid w:val="009D3025"/>
    <w:rsid w:val="009F3002"/>
    <w:rsid w:val="00A25B9A"/>
    <w:rsid w:val="00BC0CA0"/>
    <w:rsid w:val="00C053F4"/>
    <w:rsid w:val="00C17222"/>
    <w:rsid w:val="00C74C0B"/>
    <w:rsid w:val="00CA38F3"/>
    <w:rsid w:val="00CC0CA0"/>
    <w:rsid w:val="00DE1C9A"/>
    <w:rsid w:val="00F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7041F-4892-E449-B84A-87066B24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Sheet1!$A$14</c:f>
              <c:strCache>
                <c:ptCount val="1"/>
                <c:pt idx="0">
                  <c:v>a)      Ambience of the college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Sheet1!$B$13:$D$13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Sheet1!$B$14:$D$14</c:f>
              <c:numCache>
                <c:formatCode>General</c:formatCode>
                <c:ptCount val="3"/>
                <c:pt idx="0">
                  <c:v>63</c:v>
                </c:pt>
                <c:pt idx="1">
                  <c:v>26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37-4C42-8E7E-598548A8976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Sheet1!$A$14</c:f>
              <c:strCache>
                <c:ptCount val="1"/>
                <c:pt idx="0">
                  <c:v>b)      Infrastructure Facilities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Sheet1!$B$13:$D$13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Sheet1!$B$14:$D$14</c:f>
              <c:numCache>
                <c:formatCode>General</c:formatCode>
                <c:ptCount val="3"/>
                <c:pt idx="0">
                  <c:v>49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E8-A841-9F9F-AA61E355F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Sheet1!$A$14</c:f>
              <c:strCache>
                <c:ptCount val="1"/>
                <c:pt idx="0">
                  <c:v>c)      Faculty - Student Relationship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Sheet1!$B$13:$D$13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Sheet1!$B$14:$D$14</c:f>
              <c:numCache>
                <c:formatCode>General</c:formatCode>
                <c:ptCount val="3"/>
                <c:pt idx="0">
                  <c:v>75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65-A742-A6D4-7EA009854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Sheet1!$A$14</c:f>
              <c:strCache>
                <c:ptCount val="1"/>
                <c:pt idx="0">
                  <c:v>d)      Administrative Staff- Student Relationship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Sheet1!$B$13:$D$13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Sheet1!$B$14:$D$14</c:f>
              <c:numCache>
                <c:formatCode>General</c:formatCode>
                <c:ptCount val="3"/>
                <c:pt idx="0">
                  <c:v>52</c:v>
                </c:pt>
                <c:pt idx="1">
                  <c:v>37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B5-D248-B1AE-0D9C14B321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Sheet1!$A$17</c:f>
              <c:strCache>
                <c:ptCount val="1"/>
                <c:pt idx="0">
                  <c:v>a)      Programme Outcomes 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Sheet1!$B$16:$D$16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Sheet1!$B$17:$D$17</c:f>
              <c:numCache>
                <c:formatCode>General</c:formatCode>
                <c:ptCount val="3"/>
                <c:pt idx="0">
                  <c:v>58</c:v>
                </c:pt>
                <c:pt idx="1">
                  <c:v>29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71-1E42-9FF0-E347D1E9F2A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Sheet1!$A$17</c:f>
              <c:strCache>
                <c:ptCount val="1"/>
                <c:pt idx="0">
                  <c:v>b)      Applicability of the Course to real life situation 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Sheet1!$B$16:$D$16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Sheet1!$B$17:$D$17</c:f>
              <c:numCache>
                <c:formatCode>General</c:formatCode>
                <c:ptCount val="3"/>
                <c:pt idx="0">
                  <c:v>49</c:v>
                </c:pt>
                <c:pt idx="1">
                  <c:v>39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6D-BF45-BF5E-388027F38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Sheet1!$A$17</c:f>
              <c:strCache>
                <c:ptCount val="1"/>
                <c:pt idx="0">
                  <c:v>c)      Curriculum in terms of their relevance to latest technologies 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Sheet1!$B$16:$D$16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Sheet1!$B$17:$D$17</c:f>
              <c:numCache>
                <c:formatCode>General</c:formatCode>
                <c:ptCount val="3"/>
                <c:pt idx="0">
                  <c:v>51</c:v>
                </c:pt>
                <c:pt idx="1">
                  <c:v>38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E0-C04B-B0E3-011A42C2E8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Sheet1!$A$17</c:f>
              <c:strCache>
                <c:ptCount val="1"/>
                <c:pt idx="0">
                  <c:v>d)      Support service &amp; Placement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Sheet1!$B$16:$D$16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Sheet1!$B$17:$D$17</c:f>
              <c:numCache>
                <c:formatCode>General</c:formatCode>
                <c:ptCount val="3"/>
                <c:pt idx="0">
                  <c:v>47</c:v>
                </c:pt>
                <c:pt idx="1">
                  <c:v>36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25-1A47-8BC2-BD990D6C5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Sheena</cp:lastModifiedBy>
  <cp:revision>23</cp:revision>
  <dcterms:created xsi:type="dcterms:W3CDTF">2019-12-12T16:01:00Z</dcterms:created>
  <dcterms:modified xsi:type="dcterms:W3CDTF">2019-12-13T16:32:00Z</dcterms:modified>
</cp:coreProperties>
</file>